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6249080"/>
                <wp:effectExtent b="0" l="0" r="0" t="0"/>
                <wp:wrapNone/>
                <wp:docPr id="1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169325"/>
                          <a:ext cx="6286500" cy="6249080"/>
                          <a:chOff x="2202750" y="169325"/>
                          <a:chExt cx="6286500" cy="6735225"/>
                        </a:xfrm>
                      </wpg:grpSpPr>
                      <wpg:grpSp>
                        <wpg:cNvGrpSpPr/>
                        <wpg:grpSpPr>
                          <a:xfrm>
                            <a:off x="2202750" y="169325"/>
                            <a:ext cx="6286500" cy="6735215"/>
                            <a:chOff x="2202750" y="-537126"/>
                            <a:chExt cx="6286500" cy="7441676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0"/>
                              <a:ext cx="6286500" cy="69045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-537126"/>
                              <a:ext cx="6286500" cy="7441666"/>
                              <a:chOff x="2202725" y="-1211550"/>
                              <a:chExt cx="6377400" cy="756000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25" y="0"/>
                                <a:ext cx="6377400" cy="6348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46" y="-1211550"/>
                                <a:ext cx="6377354" cy="7560000"/>
                                <a:chOff x="2111896" y="0"/>
                                <a:chExt cx="6377354" cy="756000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2202750" y="0"/>
                                  <a:ext cx="6286500" cy="756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111896" y="0"/>
                                  <a:ext cx="6377354" cy="7560000"/>
                                  <a:chOff x="-224216" y="-2276513"/>
                                  <a:chExt cx="6377694" cy="8320544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-133357" y="-2276513"/>
                                    <a:ext cx="6286825" cy="83205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10" name="Shape 10"/>
                                <wps:spPr>
                                  <a:xfrm>
                                    <a:off x="2980383" y="5629376"/>
                                    <a:ext cx="3173095" cy="4146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righ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t" bIns="45700" lIns="91425" spcFirstLastPara="1" rIns="91425" wrap="square" tIns="45700">
                                  <a:noAutofit/>
                                </wps:bodyPr>
                              </wps:wsp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-224216" y="1014181"/>
                                    <a:ext cx="5485200" cy="4615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Arial" w:cs="Arial" w:eastAsia="Arial" w:hAnsi="Arial"/>
                                          <w:b w:val="0"/>
                                          <w:i w:val="0"/>
                                          <w:smallCaps w:val="0"/>
                                          <w:strike w:val="0"/>
                                          <w:color w:val="000000"/>
                                          <w:sz w:val="28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  <w:t xml:space="preserve">Framework 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</w: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  <w:t xml:space="preserve">Award Form</w:t>
                                      </w:r>
                                    </w:p>
                                    <w:p w:rsidR="00000000" w:rsidDel="00000000" w:rsidP="00000000" w:rsidRDefault="00000000" w:rsidRPr="00000000">
                                      <w:pPr>
                                        <w:spacing w:after="200" w:before="0" w:line="275.00000953674316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  <w:r w:rsidDel="00000000" w:rsidR="00000000" w:rsidRPr="00000000">
                                        <w:rPr>
                                          <w:rFonts w:ascii="Calibri" w:cs="Calibri" w:eastAsia="Calibri" w:hAnsi="Calibri"/>
                                          <w:b w:val="1"/>
                                          <w:i w:val="0"/>
                                          <w:smallCaps w:val="0"/>
                                          <w:strike w:val="0"/>
                                          <w:color w:val="1f497d"/>
                                          <w:sz w:val="72"/>
                                          <w:vertAlign w:val="baseline"/>
                                        </w:rPr>
                                      </w:r>
                                    </w:p>
                                  </w:txbxContent>
                                </wps:txbx>
                                <wps:bodyPr anchorCtr="0" anchor="b" bIns="45700" lIns="91425" spcFirstLastPara="1" rIns="91425" wrap="square" tIns="45700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6249080"/>
                <wp:effectExtent b="0" l="0" r="0" t="0"/>
                <wp:wrapNone/>
                <wp:docPr id="1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62490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96524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12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 RM6284.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83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040"/>
        <w:gridCol w:w="8055"/>
        <w:tblGridChange w:id="0">
          <w:tblGrid>
            <w:gridCol w:w="436"/>
            <w:gridCol w:w="2040"/>
            <w:gridCol w:w="8055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rtl w:val="0"/>
                    </w:rPr>
                    <w:t xml:space="preserve">[Supplier Name]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Rule="auto"/>
                    <w:rPr>
                      <w:rFonts w:ascii="Arial" w:cs="Arial" w:eastAsia="Arial" w:hAnsi="Arial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rtl w:val="0"/>
                    </w:rPr>
                    <w:t xml:space="preserve">[Supplier Address]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spacing w:after="0" w:lineRule="auto"/>
                    <w:rPr>
                      <w:rFonts w:ascii="Arial" w:cs="Arial" w:eastAsia="Arial" w:hAnsi="Arial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rtl w:val="0"/>
                    </w:rPr>
                    <w:t xml:space="preserve">[Supplier Registration]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3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after="0" w:lineRule="auto"/>
                    <w:rPr>
                      <w:rFonts w:ascii="Arial" w:cs="Arial" w:eastAsia="Arial" w:hAnsi="Arial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rtl w:val="0"/>
                    </w:rPr>
                    <w:t xml:space="preserve">[Supplier SID4GOV ID]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5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after="0" w:lineRule="auto"/>
                    <w:rPr>
                      <w:rFonts w:ascii="Arial" w:cs="Arial" w:eastAsia="Arial" w:hAnsi="Arial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7">
            <w:pPr>
              <w:spacing w:after="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4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  Framework</w:t>
            </w:r>
          </w:p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4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  Contract</w:t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Supplier to be considered for Call-off Contracts to supply the Deliverables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[Lot]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.You cannot deliver in any other Lot under this contract. Any references made to other Lots in this contract do not apply. 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Find a Tender Service reference 2023/S 000-010005 (FTS Contract Notice).</w:t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keepNext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 (Specification) for further details.</w:t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25/07/2023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7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Expiry Date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24/07/2026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Extension Option of up to 1 year (up to 12 months)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direct award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Further competition</w:t>
            </w:r>
          </w:p>
          <w:p w:rsidR="00000000" w:rsidDel="00000000" w:rsidP="00000000" w:rsidRDefault="00000000" w:rsidRPr="00000000" w14:paraId="00000037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9">
            <w:pPr>
              <w:spacing w:after="0" w:lineRule="auto"/>
              <w:ind w:right="936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3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Incorporated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Terms </w:t>
            </w:r>
          </w:p>
          <w:p w:rsidR="00000000" w:rsidDel="00000000" w:rsidP="00000000" w:rsidRDefault="00000000" w:rsidRPr="00000000" w14:paraId="0000003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(together these documents form the ‘the Framework Contract’)</w:t>
            </w:r>
          </w:p>
          <w:p w:rsidR="00000000" w:rsidDel="00000000" w:rsidP="00000000" w:rsidRDefault="00000000" w:rsidRPr="00000000" w14:paraId="00000040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Rule="auto"/>
              <w:rPr>
                <w:rFonts w:ascii="Arial" w:cs="Arial" w:eastAsia="Arial" w:hAnsi="Arial"/>
                <w:i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Joint Schedule 1 (Definitions)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Joint Schedule 11 (Processing Data) 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RM6284 (in equal order of precedence):</w:t>
            </w:r>
          </w:p>
          <w:p w:rsidR="00000000" w:rsidDel="00000000" w:rsidP="00000000" w:rsidRDefault="00000000" w:rsidRPr="00000000" w14:paraId="0000005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Framework Schedule 1 (Specification) </w:t>
            </w:r>
          </w:p>
          <w:p w:rsidR="00000000" w:rsidDel="00000000" w:rsidP="00000000" w:rsidRDefault="00000000" w:rsidRPr="00000000" w14:paraId="00000058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Framework Schedule 3 (Framework Prices)</w:t>
            </w:r>
          </w:p>
          <w:p w:rsidR="00000000" w:rsidDel="00000000" w:rsidP="00000000" w:rsidRDefault="00000000" w:rsidRPr="00000000" w14:paraId="00000059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Framework Schedule 4 (Framework Management)</w:t>
            </w:r>
          </w:p>
          <w:p w:rsidR="00000000" w:rsidDel="00000000" w:rsidP="00000000" w:rsidRDefault="00000000" w:rsidRPr="00000000" w14:paraId="0000005A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Framework Schedule 5 (Management Charges and Information)</w:t>
            </w:r>
          </w:p>
          <w:p w:rsidR="00000000" w:rsidDel="00000000" w:rsidP="00000000" w:rsidRDefault="00000000" w:rsidRPr="00000000" w14:paraId="0000005B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Framework Schedule 6 (Order Form Template and Call-Off Schedules) including the following template Call-Off Schedules: </w:t>
            </w:r>
          </w:p>
          <w:p w:rsidR="00000000" w:rsidDel="00000000" w:rsidP="00000000" w:rsidRDefault="00000000" w:rsidRPr="00000000" w14:paraId="0000005C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 1 (Transparency Reports)</w:t>
            </w:r>
          </w:p>
          <w:p w:rsidR="00000000" w:rsidDel="00000000" w:rsidP="00000000" w:rsidRDefault="00000000" w:rsidRPr="00000000" w14:paraId="0000005D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 2 (Staff Transfer)</w:t>
            </w:r>
          </w:p>
          <w:p w:rsidR="00000000" w:rsidDel="00000000" w:rsidP="00000000" w:rsidRDefault="00000000" w:rsidRPr="00000000" w14:paraId="0000005E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 3 (Continuous Improvement)</w:t>
            </w:r>
          </w:p>
          <w:p w:rsidR="00000000" w:rsidDel="00000000" w:rsidP="00000000" w:rsidRDefault="00000000" w:rsidRPr="00000000" w14:paraId="0000005F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4 (Call-Off Tender)</w:t>
              <w:tab/>
              <w:tab/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5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highlight w:val="white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Pricing Details)</w:t>
              <w:tab/>
              <w:t xml:space="preserve">           </w:t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7 (Key Supplier Staff)</w:t>
              <w:tab/>
              <w:tab/>
            </w:r>
          </w:p>
          <w:p w:rsidR="00000000" w:rsidDel="00000000" w:rsidP="00000000" w:rsidRDefault="00000000" w:rsidRPr="00000000" w14:paraId="00000062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8 (Business Continuity and Disaster Recovery) </w:t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9 (Security)</w:t>
              <w:tab/>
              <w:tab/>
              <w:t xml:space="preserve"> </w:t>
              <w:tab/>
              <w:t xml:space="preserve"> </w:t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10 (Exit Management) </w:t>
              <w:tab/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12 (Clustering) </w:t>
              <w:tab/>
              <w:tab/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13 (Implementation Plan and Testing)</w:t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14 (Service Levels) </w:t>
              <w:tab/>
              <w:tab/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4"/>
              </w:numPr>
              <w:spacing w:after="0" w:line="240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15 (Call-Off Contract Management)</w:t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4"/>
              </w:numPr>
              <w:spacing w:after="0" w:line="240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16 (Benchmarking)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4"/>
              </w:numPr>
              <w:spacing w:after="0" w:line="240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17 (MOD Terms)             </w:t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4"/>
              </w:numPr>
              <w:spacing w:after="0" w:line="240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18 (Background Checks) </w:t>
              <w:tab/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4"/>
              </w:numPr>
              <w:spacing w:after="0" w:line="240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 19 (Scottish Law)</w:t>
              <w:tab/>
              <w:tab/>
              <w:t xml:space="preserve">      </w:t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4"/>
              </w:numPr>
              <w:spacing w:after="0" w:line="240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 20 (Call-Off Specification)    </w:t>
            </w:r>
          </w:p>
          <w:p w:rsidR="00000000" w:rsidDel="00000000" w:rsidP="00000000" w:rsidRDefault="00000000" w:rsidRPr="00000000" w14:paraId="0000006E">
            <w:pPr>
              <w:numPr>
                <w:ilvl w:val="2"/>
                <w:numId w:val="4"/>
              </w:numPr>
              <w:spacing w:after="0" w:line="240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 21 (Northern Ireland Law)    </w:t>
            </w:r>
          </w:p>
          <w:p w:rsidR="00000000" w:rsidDel="00000000" w:rsidP="00000000" w:rsidRDefault="00000000" w:rsidRPr="00000000" w14:paraId="0000006F">
            <w:pPr>
              <w:numPr>
                <w:ilvl w:val="2"/>
                <w:numId w:val="4"/>
              </w:numPr>
              <w:spacing w:after="0" w:line="240" w:lineRule="auto"/>
              <w:ind w:left="21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Call-Off Schedule 23 (HMRC Terms)                      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3"/>
              </w:numPr>
              <w:spacing w:after="0" w:line="24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Framework Schedule 7 (Call-Off Award Procedure)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Framework Schedule 8 (Self Audit Certificate)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Framework Schedule 9 (Cyber Essentials Scheme) 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Joint Schedule 2 (Variation Form)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Joint Schedule 3 (Insurance Requirements)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Joint Schedule 4 (Commercially Sensitive Information)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Joint Schedule 6 (Key Subcontractors)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Joint Schedule 7 (Financial Difficulties)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Joint Schedule 8 (Guarantee)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Joint Schedule 9 (Minimum Standards of Reliability)</w:t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Joint Schedule 10 (Rectification Plan)</w:t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Joint Schedule 12 (Supply Chain Visibility)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Joint Schedule 13 (Secondments)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(version 3.0.11)</w:t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Joint Schedule 5 (Corporate Social Responsibility) RM6284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RM6284 as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0" w:hRule="atLeast"/>
          <w:tblHeader w:val="0"/>
        </w:trPr>
        <w:tc>
          <w:tcPr/>
          <w:p w:rsidR="00000000" w:rsidDel="00000000" w:rsidP="00000000" w:rsidRDefault="00000000" w:rsidRPr="00000000" w14:paraId="0000008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Special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Terms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Special Term 1 - 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Prices 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9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 </w:t>
            </w:r>
          </w:p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Certification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Cyber Essentials Scheme Basic </w:t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  <w:highlight w:val="red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9 (Cyber Essentials Scheme)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</w:t>
            </w:r>
          </w:p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Charge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VAT, 1% of all the Charges for the Deliverables invoiced to the Buyer under all Call-Off Contracts.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Representative</w:t>
            </w:r>
          </w:p>
        </w:tc>
        <w:tc>
          <w:tcPr/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</w:t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Protection 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</w:t>
            </w:r>
          </w:p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Liability Cap</w:t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£10,000,000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 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Contact</w:t>
            </w:r>
          </w:p>
        </w:tc>
        <w:tc>
          <w:tcPr/>
          <w:p w:rsidR="00000000" w:rsidDel="00000000" w:rsidP="00000000" w:rsidRDefault="00000000" w:rsidRPr="00000000" w14:paraId="000000C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</w:t>
            </w:r>
          </w:p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8">
            <w:pPr>
              <w:spacing w:after="120" w:before="120" w:lineRule="auto"/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C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</w: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Representative</w:t>
            </w:r>
          </w:p>
        </w:tc>
        <w:tc>
          <w:tcPr/>
          <w:p w:rsidR="00000000" w:rsidDel="00000000" w:rsidP="00000000" w:rsidRDefault="00000000" w:rsidRPr="00000000" w14:paraId="000000C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70.000000000002" w:type="dxa"/>
        <w:jc w:val="left"/>
        <w:tblInd w:w="-108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26"/>
        <w:gridCol w:w="2980"/>
        <w:gridCol w:w="1698"/>
        <w:gridCol w:w="2966"/>
        <w:tblGridChange w:id="0">
          <w:tblGrid>
            <w:gridCol w:w="1526"/>
            <w:gridCol w:w="2980"/>
            <w:gridCol w:w="1698"/>
            <w:gridCol w:w="2966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D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D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E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F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  <w:color w:val="000000"/>
        </w:rPr>
        <w:sectPr>
          <w:type w:val="nextPage"/>
          <w:pgSz w:h="16838" w:w="11906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  <w:color w:val="000000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F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D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RM6284 Costs Lawyer Services 2</w:t>
      <w:tab/>
      <w:t xml:space="preserve">                                           </w:t>
    </w:r>
  </w:p>
  <w:p w:rsidR="00000000" w:rsidDel="00000000" w:rsidP="00000000" w:rsidRDefault="00000000" w:rsidRPr="00000000" w14:paraId="000000F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0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v3.10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F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F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F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2022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644" w:hanging="358.99999999999994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3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leader="none" w:pos="-5585"/>
      </w:tabs>
      <w:spacing w:after="120" w:line="240" w:lineRule="auto"/>
      <w:ind w:left="3524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leader="none" w:pos="-8987"/>
        <w:tab w:val="left" w:leader="none" w:pos="-8420"/>
      </w:tabs>
      <w:spacing w:after="120" w:line="240" w:lineRule="auto"/>
      <w:ind w:left="3524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5B5E1B"/>
    <w:pPr>
      <w:suppressAutoHyphens w:val="1"/>
    </w:pPr>
    <w:rPr>
      <w:lang w:eastAsia="en-US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uiPriority w:val="9"/>
    <w:semiHidden w:val="1"/>
    <w:unhideWhenUsed w:val="1"/>
    <w:qFormat w:val="1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 w:val="1"/>
    <w:unhideWhenUsed w:val="1"/>
    <w:qFormat w:val="1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numbering" w:styleId="WWOutlineListStyle8" w:customStyle="1">
    <w:name w:val="WW_OutlineListStyle_8"/>
    <w:basedOn w:val="NoList"/>
  </w:style>
  <w:style w:type="paragraph" w:styleId="Level1Heading" w:customStyle="1">
    <w:name w:val="Level 1 Heading"/>
    <w:basedOn w:val="BodyText"/>
    <w:next w:val="Normal"/>
    <w:pPr>
      <w:keepNext w:val="1"/>
      <w:tabs>
        <w:tab w:val="left" w:pos="-1342"/>
      </w:tabs>
      <w:suppressAutoHyphens w:val="0"/>
      <w:spacing w:after="200" w:before="360" w:line="360" w:lineRule="auto"/>
      <w:outlineLvl w:val="0"/>
    </w:pPr>
    <w:rPr>
      <w:rFonts w:ascii="Arial" w:eastAsia="Times New Roman" w:hAnsi="Arial"/>
      <w:b w:val="1"/>
      <w:szCs w:val="20"/>
    </w:rPr>
  </w:style>
  <w:style w:type="paragraph" w:styleId="GPSL1CLAUSEHEADING" w:customStyle="1">
    <w:name w:val="GPS L1 CLAUSE HEADING"/>
    <w:basedOn w:val="Normal"/>
    <w:next w:val="Normal"/>
    <w:qFormat w:val="1"/>
    <w:pPr>
      <w:tabs>
        <w:tab w:val="left" w:pos="-3864"/>
      </w:tabs>
      <w:suppressAutoHyphens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character" w:styleId="Heading5Char" w:customStyle="1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6Char" w:customStyle="1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odyText1" w:customStyle="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qFormat w:val="1"/>
    <w:pPr>
      <w:numPr>
        <w:numId w:val="5"/>
      </w:numPr>
      <w:suppressAutoHyphens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rPr>
      <w:rFonts w:eastAsia="STZhongsong"/>
      <w:b w:val="1"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rPr>
      <w:rFonts w:ascii="Tahoma" w:cs="Tahoma" w:hAnsi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uiPriority w:val="99"/>
    <w:rPr>
      <w:sz w:val="22"/>
      <w:szCs w:val="22"/>
      <w:lang w:eastAsia="en-US"/>
    </w:rPr>
  </w:style>
  <w:style w:type="paragraph" w:styleId="MarginText" w:customStyle="1">
    <w:name w:val="Margin Text"/>
    <w:basedOn w:val="Normal"/>
    <w:pPr>
      <w:keepNext w:val="1"/>
      <w:suppressAutoHyphens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rPr>
      <w:rFonts w:ascii="Arial" w:eastAsia="STZhongsong" w:hAnsi="Arial"/>
      <w:sz w:val="18"/>
      <w:szCs w:val="18"/>
      <w:lang w:eastAsia="zh-CN"/>
    </w:rPr>
  </w:style>
  <w:style w:type="paragraph" w:styleId="GPSL2numberedclause" w:customStyle="1">
    <w:name w:val="GPS L2 numbered clause"/>
    <w:basedOn w:val="Normal"/>
    <w:qFormat w:val="1"/>
    <w:pPr>
      <w:tabs>
        <w:tab w:val="left" w:pos="1134"/>
      </w:tabs>
      <w:suppressAutoHyphens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qFormat w:val="1"/>
    <w:pPr>
      <w:tabs>
        <w:tab w:val="clear" w:pos="1134"/>
        <w:tab w:val="left" w:pos="1985"/>
        <w:tab w:val="left" w:pos="2127"/>
      </w:tabs>
      <w:ind w:left="1985" w:hanging="851"/>
    </w:pPr>
  </w:style>
  <w:style w:type="paragraph" w:styleId="GPSL4numberedclause" w:customStyle="1">
    <w:name w:val="GPS L4 numbered clause"/>
    <w:basedOn w:val="GPSL3numberedclause"/>
    <w:qFormat w:val="1"/>
    <w:pPr>
      <w:tabs>
        <w:tab w:val="clear" w:pos="2127"/>
      </w:tabs>
      <w:ind w:left="2835" w:hanging="708"/>
    </w:pPr>
    <w:rPr>
      <w:szCs w:val="20"/>
    </w:rPr>
  </w:style>
  <w:style w:type="character" w:styleId="GPSL2numberedclauseChar1" w:customStyle="1">
    <w:name w:val="GPS L2 numbered clause Char1"/>
    <w:rPr>
      <w:rFonts w:cs="Arial" w:eastAsia="Times New Roman"/>
      <w:sz w:val="22"/>
      <w:szCs w:val="22"/>
      <w:lang w:eastAsia="zh-CN"/>
    </w:rPr>
  </w:style>
  <w:style w:type="character" w:styleId="GPSL3numberedclauseChar" w:customStyle="1">
    <w:name w:val="GPS L3 numbered clause Char"/>
    <w:rPr>
      <w:rFonts w:cs="Arial" w:eastAsia="Times New Roman"/>
      <w:sz w:val="22"/>
      <w:szCs w:val="22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tabs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styleId="Style1" w:customStyle="1">
    <w:name w:val="Style1"/>
    <w:basedOn w:val="ListParagraph"/>
    <w:pPr>
      <w:tabs>
        <w:tab w:val="num" w:pos="720"/>
      </w:tabs>
      <w:ind w:hanging="720"/>
    </w:pPr>
    <w:rPr>
      <w:b w:val="1"/>
      <w:sz w:val="20"/>
    </w:rPr>
  </w:style>
  <w:style w:type="character" w:styleId="ListParagraphChar" w:customStyle="1">
    <w:name w:val="List Paragraph Char"/>
    <w:basedOn w:val="DefaultParagraphFont"/>
    <w:rPr>
      <w:sz w:val="22"/>
      <w:szCs w:val="22"/>
      <w:lang w:eastAsia="en-US"/>
    </w:rPr>
  </w:style>
  <w:style w:type="character" w:styleId="Style1Char" w:customStyle="1">
    <w:name w:val="Style1 Char"/>
    <w:basedOn w:val="ListParagraphChar"/>
    <w:rPr>
      <w:b w:val="1"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basedOn w:val="CommentTextChar"/>
    <w:rPr>
      <w:b w:val="1"/>
      <w:bCs w:val="1"/>
      <w:lang w:eastAsia="en-US"/>
    </w:rPr>
  </w:style>
  <w:style w:type="paragraph" w:styleId="Revision">
    <w:name w:val="Revision"/>
    <w:rPr>
      <w:lang w:eastAsia="en-US"/>
    </w:rPr>
  </w:style>
  <w:style w:type="paragraph" w:styleId="GPsDefinition" w:customStyle="1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styleId="GPSDefinitionL2Char" w:customStyle="1">
    <w:name w:val="GPS Definition L2 Char"/>
    <w:rPr>
      <w:rFonts w:ascii="Arial" w:cs="Arial" w:eastAsia="Times New Roman" w:hAnsi="Arial"/>
      <w:sz w:val="22"/>
      <w:szCs w:val="22"/>
      <w:lang w:eastAsia="en-US"/>
    </w:rPr>
  </w:style>
  <w:style w:type="paragraph" w:styleId="GPSDefinitionL3" w:customStyle="1">
    <w:name w:val="GPS Definition L3"/>
    <w:basedOn w:val="GPSDefinitionL2"/>
  </w:style>
  <w:style w:type="paragraph" w:styleId="GPSDefinitionL4" w:customStyle="1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styleId="GPSDefinitionL3Char" w:customStyle="1">
    <w:name w:val="GPS Definition L3 Char"/>
    <w:rPr>
      <w:rFonts w:ascii="Arial" w:cs="Arial" w:eastAsia="Times New Roman" w:hAnsi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cs="Arial" w:eastAsia="Times New Roman" w:hAnsi="Arial"/>
      <w:sz w:val="20"/>
      <w:szCs w:val="20"/>
    </w:rPr>
  </w:style>
  <w:style w:type="character" w:styleId="FootnoteTextChar" w:customStyle="1">
    <w:name w:val="Footnote Text Char"/>
    <w:basedOn w:val="DefaultParagraphFont"/>
    <w:rPr>
      <w:rFonts w:ascii="Arial" w:cs="Arial" w:eastAsia="Times New Roman" w:hAnsi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styleId="BodyTextChar" w:customStyle="1">
    <w:name w:val="Body Text Char"/>
    <w:basedOn w:val="DefaultParagraphFont"/>
    <w:rPr>
      <w:sz w:val="22"/>
      <w:szCs w:val="22"/>
      <w:lang w:eastAsia="en-US"/>
    </w:rPr>
  </w:style>
  <w:style w:type="paragraph" w:styleId="Level2Heading" w:customStyle="1">
    <w:name w:val="Level 2 Heading"/>
    <w:basedOn w:val="BodyText"/>
    <w:next w:val="BodyText2"/>
    <w:pPr>
      <w:keepNext w:val="1"/>
      <w:tabs>
        <w:tab w:val="left" w:pos="360"/>
      </w:tabs>
      <w:suppressAutoHyphens w:val="0"/>
      <w:spacing w:after="200" w:before="360" w:line="360" w:lineRule="auto"/>
      <w:outlineLvl w:val="1"/>
    </w:pPr>
    <w:rPr>
      <w:rFonts w:ascii="Arial" w:eastAsia="Times New Roman" w:hAnsi="Arial"/>
      <w:b w:val="1"/>
      <w:sz w:val="20"/>
      <w:szCs w:val="20"/>
      <w:lang w:eastAsia="en-GB"/>
    </w:rPr>
  </w:style>
  <w:style w:type="paragraph" w:styleId="Level3Number" w:customStyle="1">
    <w:name w:val="Level 3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4Number" w:customStyle="1">
    <w:name w:val="Level 4 Number"/>
    <w:basedOn w:val="BodyText"/>
    <w:pPr>
      <w:tabs>
        <w:tab w:val="left" w:pos="360"/>
      </w:tabs>
      <w:suppressAutoHyphens w:val="0"/>
      <w:spacing w:after="200" w:before="360" w:line="360" w:lineRule="auto"/>
    </w:pPr>
    <w:rPr>
      <w:rFonts w:ascii="Arial" w:eastAsia="Times New Roman" w:hAnsi="Arial"/>
      <w:sz w:val="20"/>
      <w:szCs w:val="20"/>
    </w:rPr>
  </w:style>
  <w:style w:type="paragraph" w:styleId="Level5Number" w:customStyle="1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6Number" w:customStyle="1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7Number" w:customStyle="1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styleId="Level8Number" w:customStyle="1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basedOn w:val="DefaultParagraphFont"/>
    <w:rPr>
      <w:sz w:val="22"/>
      <w:szCs w:val="22"/>
      <w:lang w:eastAsia="en-US"/>
    </w:rPr>
  </w:style>
  <w:style w:type="character" w:styleId="GPSL2NumberedBoldHeadingChar" w:customStyle="1">
    <w:name w:val="GPS L2 Numbered Bold Heading Char"/>
    <w:rPr>
      <w:rFonts w:cs="Arial" w:eastAsia="Times New Roman"/>
      <w:b w:val="1"/>
      <w:sz w:val="22"/>
      <w:szCs w:val="22"/>
      <w:lang w:eastAsia="zh-CN"/>
    </w:rPr>
  </w:style>
  <w:style w:type="paragraph" w:styleId="GPSL2Indent" w:customStyle="1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cs="Arial" w:eastAsia="Times New Roman"/>
      <w:szCs w:val="24"/>
    </w:rPr>
  </w:style>
  <w:style w:type="paragraph" w:styleId="GPSL2Numbered" w:customStyle="1">
    <w:name w:val="GPS L2 Numbered"/>
    <w:basedOn w:val="GPSL2NumberedBoldHeading"/>
    <w:qFormat w:val="1"/>
    <w:pPr>
      <w:tabs>
        <w:tab w:val="left" w:pos="709"/>
      </w:tabs>
      <w:ind w:hanging="360"/>
    </w:pPr>
    <w:rPr>
      <w:b w:val="0"/>
    </w:rPr>
  </w:style>
  <w:style w:type="character" w:styleId="GPSL2NumberedChar" w:customStyle="1">
    <w:name w:val="GPS L2 Numbered Char"/>
    <w:rPr>
      <w:rFonts w:cs="Arial" w:eastAsia="Times New Roman"/>
      <w:sz w:val="22"/>
      <w:szCs w:val="22"/>
      <w:lang w:eastAsia="zh-CN"/>
    </w:rPr>
  </w:style>
  <w:style w:type="character" w:styleId="GPSL2IndentChar" w:customStyle="1">
    <w:name w:val="GPS L2 Indent Char"/>
    <w:rPr>
      <w:rFonts w:cs="Arial" w:eastAsia="Times New Roman"/>
      <w:sz w:val="22"/>
      <w:szCs w:val="24"/>
      <w:lang w:eastAsia="en-US"/>
    </w:rPr>
  </w:style>
  <w:style w:type="character" w:styleId="GPSL4numberedclauseChar" w:customStyle="1">
    <w:name w:val="GPS L4 numbered clause Char"/>
    <w:rPr>
      <w:rFonts w:cs="Arial" w:eastAsia="Times New Roman"/>
      <w:sz w:val="22"/>
      <w:lang w:eastAsia="zh-CN"/>
    </w:rPr>
  </w:style>
  <w:style w:type="paragraph" w:styleId="GPSL3Indent" w:customStyle="1">
    <w:name w:val="GPS L3 Indent"/>
    <w:basedOn w:val="Normal"/>
    <w:pPr>
      <w:tabs>
        <w:tab w:val="left" w:pos="2127"/>
      </w:tabs>
      <w:suppressAutoHyphens w:val="0"/>
      <w:spacing w:after="120" w:before="120" w:line="240" w:lineRule="auto"/>
      <w:ind w:left="2127"/>
      <w:jc w:val="both"/>
    </w:pPr>
    <w:rPr>
      <w:rFonts w:ascii="Arial" w:cs="Arial" w:eastAsia="Times New Roman" w:hAnsi="Arial"/>
      <w:lang w:eastAsia="zh-CN" w:val="en-US"/>
    </w:rPr>
  </w:style>
  <w:style w:type="character" w:styleId="GPSL3IndentChar" w:customStyle="1">
    <w:name w:val="GPS L3 Indent Char"/>
    <w:rPr>
      <w:rFonts w:ascii="Arial" w:cs="Arial" w:eastAsia="Times New Roman" w:hAnsi="Arial"/>
      <w:sz w:val="22"/>
      <w:szCs w:val="22"/>
      <w:lang w:eastAsia="zh-CN" w:val="en-US"/>
    </w:rPr>
  </w:style>
  <w:style w:type="character" w:styleId="GPSL5numberedclauseChar" w:customStyle="1">
    <w:name w:val="GPS L5 numbered clause Char"/>
    <w:rPr>
      <w:rFonts w:cs="Arial" w:eastAsia="Times New Roman"/>
      <w:sz w:val="22"/>
      <w:lang w:eastAsia="zh-CN"/>
    </w:rPr>
  </w:style>
  <w:style w:type="paragraph" w:styleId="Body3" w:customStyle="1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styleId="GPSDefinitionTerm" w:customStyle="1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cs="Arial" w:eastAsia="Times New Roman"/>
      <w:b w:val="1"/>
    </w:rPr>
  </w:style>
  <w:style w:type="character" w:styleId="Heading7Char" w:customStyle="1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styleId="Heading8Char" w:customStyle="1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styleId="GPSL4boldheading" w:customStyle="1">
    <w:name w:val="GPS L4 bold heading"/>
    <w:basedOn w:val="GPSL3numberedclause"/>
    <w:pPr>
      <w:tabs>
        <w:tab w:val="num" w:pos="720"/>
      </w:tabs>
      <w:ind w:left="720" w:hanging="720"/>
    </w:pPr>
    <w:rPr>
      <w:b w:val="1"/>
    </w:rPr>
  </w:style>
  <w:style w:type="character" w:styleId="GPSL4boldheadingChar" w:customStyle="1">
    <w:name w:val="GPS L4 bold heading Char"/>
    <w:rPr>
      <w:rFonts w:cs="Arial" w:eastAsia="Times New Roman"/>
      <w:b w:val="1"/>
      <w:sz w:val="22"/>
      <w:szCs w:val="22"/>
      <w:lang w:eastAsia="zh-CN"/>
    </w:rPr>
  </w:style>
  <w:style w:type="numbering" w:styleId="WWOutlineListStyle7" w:customStyle="1">
    <w:name w:val="WW_OutlineListStyle_7"/>
    <w:basedOn w:val="NoList"/>
  </w:style>
  <w:style w:type="numbering" w:styleId="WWOutlineListStyle6" w:customStyle="1">
    <w:name w:val="WW_OutlineListStyle_6"/>
    <w:basedOn w:val="NoList"/>
  </w:style>
  <w:style w:type="numbering" w:styleId="WWOutlineListStyle5" w:customStyle="1">
    <w:name w:val="WW_OutlineListStyle_5"/>
    <w:basedOn w:val="NoList"/>
  </w:style>
  <w:style w:type="numbering" w:styleId="WWOutlineListStyle4" w:customStyle="1">
    <w:name w:val="WW_OutlineListStyle_4"/>
    <w:basedOn w:val="NoList"/>
  </w:style>
  <w:style w:type="numbering" w:styleId="WWOutlineListStyle3" w:customStyle="1">
    <w:name w:val="WW_OutlineListStyle_3"/>
    <w:basedOn w:val="NoList"/>
  </w:style>
  <w:style w:type="numbering" w:styleId="WWOutlineListStyle2" w:customStyle="1">
    <w:name w:val="WW_OutlineListStyle_2"/>
    <w:basedOn w:val="NoList"/>
  </w:style>
  <w:style w:type="numbering" w:styleId="WWOutlineListStyle1" w:customStyle="1">
    <w:name w:val="WW_OutlineListStyle_1"/>
    <w:basedOn w:val="NoList"/>
  </w:style>
  <w:style w:type="numbering" w:styleId="WWOutlineListStyle" w:customStyle="1">
    <w:name w:val="WW_OutlineListStyle"/>
    <w:basedOn w:val="NoList"/>
  </w:style>
  <w:style w:type="numbering" w:styleId="LFO7" w:customStyle="1">
    <w:name w:val="LFO7"/>
    <w:basedOn w:val="NoList"/>
  </w:style>
  <w:style w:type="numbering" w:styleId="LFO9" w:customStyle="1">
    <w:name w:val="LFO9"/>
    <w:basedOn w:val="NoList"/>
  </w:style>
  <w:style w:type="numbering" w:styleId="LFO10" w:customStyle="1">
    <w:name w:val="LFO10"/>
    <w:basedOn w:val="NoList"/>
  </w:style>
  <w:style w:type="numbering" w:styleId="LFO12" w:customStyle="1">
    <w:name w:val="LFO12"/>
    <w:basedOn w:val="NoList"/>
  </w:style>
  <w:style w:type="numbering" w:styleId="LFO13" w:customStyle="1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0000BF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TableGrid">
    <w:name w:val="Table Grid"/>
    <w:basedOn w:val="TableNormal"/>
    <w:uiPriority w:val="5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3-Accent51" w:customStyle="1">
    <w:name w:val="List Table 3 - Accent 51"/>
    <w:basedOn w:val="TableNormal"/>
    <w:uiPriority w:val="48"/>
    <w:tblPr>
      <w:tblStyleRowBandSize w:val="1"/>
      <w:tblStyleColBandSize w:val="1"/>
      <w:tblBorders>
        <w:top w:color="4bacc6" w:space="0" w:sz="4" w:themeColor="accent5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</w:tblBorders>
    </w:tblPr>
    <w:tblStylePr w:type="firstRow"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rPr>
        <w:b w:val="1"/>
        <w:bCs w:val="1"/>
      </w:rPr>
      <w:tblPr/>
      <w:tcPr>
        <w:tcBorders>
          <w:top w:color="4bacc6" w:space="0" w:sz="4" w:themeColor="accent5" w:val="double"/>
        </w:tcBorders>
        <w:shd w:color="auto" w:fill="ffffff" w:themeFill="background1" w:val="clear"/>
      </w:tcPr>
    </w:tblStylePr>
    <w:tblStylePr w:type="firstCol">
      <w:rPr>
        <w:b w:val="1"/>
        <w:bCs w:val="1"/>
      </w:rPr>
      <w:tblPr/>
      <w:tcPr>
        <w:tcBorders>
          <w:right w:space="0" w:sz="0" w:val="nil"/>
        </w:tcBorders>
        <w:shd w:color="auto" w:fill="ffffff" w:themeFill="background1" w:val="clear"/>
      </w:tcPr>
    </w:tblStylePr>
    <w:tblStylePr w:type="lastCol">
      <w:rPr>
        <w:b w:val="1"/>
        <w:bCs w:val="1"/>
      </w:rPr>
      <w:tblPr/>
      <w:tcPr>
        <w:tcBorders>
          <w:left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4bacc6" w:space="0" w:sz="4" w:themeColor="accent5" w:val="single"/>
          <w:right w:color="4bacc6" w:space="0" w:sz="4" w:themeColor="accent5" w:val="single"/>
        </w:tcBorders>
      </w:tcPr>
    </w:tblStylePr>
    <w:tblStylePr w:type="band1Horz">
      <w:tblPr/>
      <w:tcPr>
        <w:tcBorders>
          <w:top w:color="4bacc6" w:space="0" w:sz="4" w:themeColor="accent5" w:val="single"/>
          <w:bottom w:color="4bacc6" w:space="0" w:sz="4" w:themeColor="accent5" w:val="single"/>
          <w:insideH w:space="0" w:sz="0" w:val="nil"/>
        </w:tcBorders>
      </w:tcPr>
    </w:tblStylePr>
    <w:tblStylePr w:type="neCell">
      <w:tblPr/>
      <w:tcPr>
        <w:tcBorders>
          <w:left w:space="0" w:sz="0" w:val="nil"/>
          <w:bottom w:space="0" w:sz="0" w:val="nil"/>
        </w:tcBorders>
      </w:tcPr>
    </w:tblStylePr>
    <w:tblStylePr w:type="nwCell">
      <w:tblPr/>
      <w:tcPr>
        <w:tcBorders>
          <w:bottom w:space="0" w:sz="0" w:val="nil"/>
          <w:right w:space="0" w:sz="0" w:val="nil"/>
        </w:tcBorders>
      </w:tcPr>
    </w:tblStylePr>
    <w:tblStylePr w:type="seCell">
      <w:tblPr/>
      <w:tcPr>
        <w:tcBorders>
          <w:top w:color="4bacc6" w:space="0" w:sz="4" w:themeColor="accent5" w:val="double"/>
          <w:left w:space="0" w:sz="0" w:val="nil"/>
        </w:tcBorders>
      </w:tcPr>
    </w:tblStylePr>
    <w:tblStylePr w:type="swCell">
      <w:tblPr/>
      <w:tcPr>
        <w:tcBorders>
          <w:top w:color="4bacc6" w:space="0" w:sz="4" w:themeColor="accent5" w:val="double"/>
          <w:right w:space="0" w:sz="0" w:val="nil"/>
        </w:tcBorders>
      </w:tcPr>
    </w:tblStylePr>
  </w:style>
  <w:style w:type="table" w:styleId="GridTable2-Accent51" w:customStyle="1">
    <w:name w:val="Grid Table 2 - Accent 51"/>
    <w:basedOn w:val="TableNormal"/>
    <w:uiPriority w:val="47"/>
    <w:tblPr>
      <w:tblStyleRowBandSize w:val="1"/>
      <w:tblStyleColBandSize w:val="1"/>
      <w:tblBorders>
        <w:top w:color="92cddc" w:space="0" w:sz="2" w:themeColor="accent5" w:themeTint="000099" w:val="single"/>
        <w:bottom w:color="92cddc" w:space="0" w:sz="2" w:themeColor="accent5" w:themeTint="000099" w:val="single"/>
        <w:insideH w:color="92cddc" w:space="0" w:sz="2" w:themeColor="accent5" w:themeTint="000099" w:val="single"/>
        <w:insideV w:color="92cddc" w:space="0" w:sz="2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2cddc" w:space="0" w:sz="12" w:themeColor="accent5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2cddc" w:space="0" w:sz="2" w:themeColor="accent5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2-Accent11" w:customStyle="1">
    <w:name w:val="Grid Table 2 - Accent 11"/>
    <w:basedOn w:val="TableNormal"/>
    <w:uiPriority w:val="47"/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4-Accent11" w:customStyle="1">
    <w:name w:val="Grid Table 4 - Accent 11"/>
    <w:basedOn w:val="TableNormal"/>
    <w:uiPriority w:val="49"/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  <w:color w:val="ffffff" w:themeColor="background1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rPr>
        <w:b w:val="1"/>
        <w:bCs w:val="1"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GridTable6Colorful-Accent11" w:customStyle="1">
    <w:name w:val="Grid Table 6 Colorful - Accent 11"/>
    <w:basedOn w:val="TableNormal"/>
    <w:uiPriority w:val="51"/>
    <w:rPr>
      <w:color w:val="365f91" w:themeColor="accent1" w:themeShade="0000BF"/>
    </w:rPr>
    <w:tblPr>
      <w:tblStyleRowBandSize w:val="1"/>
      <w:tblStyleColBandSize w:val="1"/>
      <w:tblBorders>
        <w:top w:color="95b3d7" w:space="0" w:sz="4" w:themeColor="accent1" w:themeTint="000099" w:val="single"/>
        <w:left w:color="95b3d7" w:space="0" w:sz="4" w:themeColor="accent1" w:themeTint="000099" w:val="single"/>
        <w:bottom w:color="95b3d7" w:space="0" w:sz="4" w:themeColor="accent1" w:themeTint="000099" w:val="single"/>
        <w:right w:color="95b3d7" w:space="0" w:sz="4" w:themeColor="accent1" w:themeTint="000099" w:val="single"/>
        <w:insideH w:color="95b3d7" w:space="0" w:sz="4" w:themeColor="accent1" w:themeTint="000099" w:val="single"/>
        <w:insideV w:color="95b3d7" w:space="0" w:sz="4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bottom w:color="95b3d7" w:space="0" w:sz="12" w:themeColor="accent1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5b3d7" w:space="0" w:sz="4" w:themeColor="accent1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paragraph" w:styleId="EndnoteText">
    <w:name w:val="endnote text"/>
    <w:basedOn w:val="Normal"/>
    <w:link w:val="End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 w:val="1"/>
    <w:rPr>
      <w:lang w:eastAsia="en-US"/>
    </w:rPr>
  </w:style>
  <w:style w:type="character" w:styleId="EndnoteReference">
    <w:name w:val="endnote reference"/>
    <w:basedOn w:val="DefaultParagraphFont"/>
    <w:uiPriority w:val="99"/>
    <w:semiHidden w:val="1"/>
    <w:unhideWhenUsed w:val="1"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2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3" w:customStyle="1">
    <w:basedOn w:val="TableNormal"/>
    <w:rPr>
      <w:color w:val="366091"/>
    </w:rPr>
    <w:tblPr>
      <w:tblStyleRowBandSize w:val="1"/>
      <w:tblStyleColBandSize w:val="1"/>
    </w:tblPr>
  </w:style>
  <w:style w:type="table" w:styleId="a4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table" w:styleId="a5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6" w:customStyle="1">
    <w:basedOn w:val="TableNormal"/>
    <w:rPr>
      <w:color w:val="366091"/>
    </w:rPr>
    <w:tblPr>
      <w:tblStyleRowBandSize w:val="1"/>
      <w:tblStyleColBandSize w:val="1"/>
    </w:tblPr>
  </w:style>
  <w:style w:type="table" w:styleId="a7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1.xml"/><Relationship Id="rId12" Type="http://schemas.openxmlformats.org/officeDocument/2006/relationships/image" Target="media/image1.png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KYOfTNRKQXPQk1eg15i1zdIATg==">CgMxLjAyCWguMzBqMHpsbDgAciExQWhJY0JkNUowcHFjWFZZOVp6TjRFa2ZMN19DS1RkelQ=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2023-07-06T08:53:00Z</dcterms:created>
  <dc:creator>Alison Jones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